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4953D0" w:rsidP="005B4CCE">
      <w:pPr>
        <w:jc w:val="both"/>
        <w:rPr>
          <w:rFonts w:cstheme="minorHAnsi"/>
          <w:sz w:val="24"/>
          <w:szCs w:val="24"/>
        </w:rPr>
      </w:pPr>
      <w:r>
        <w:rPr>
          <w:rFonts w:cstheme="minorHAnsi"/>
          <w:sz w:val="24"/>
          <w:szCs w:val="24"/>
        </w:rPr>
        <w:t>House Bill No. 453</w:t>
      </w:r>
      <w:r w:rsidR="00AA2548">
        <w:rPr>
          <w:rFonts w:cstheme="minorHAnsi"/>
          <w:sz w:val="24"/>
          <w:szCs w:val="24"/>
        </w:rPr>
        <w:t xml:space="preserve"> and </w:t>
      </w:r>
      <w:r w:rsidR="00A16E5B" w:rsidRPr="0060455A">
        <w:rPr>
          <w:rFonts w:cstheme="minorHAnsi"/>
          <w:sz w:val="24"/>
          <w:szCs w:val="24"/>
        </w:rPr>
        <w:t>House Bill No. 1</w:t>
      </w:r>
      <w:r>
        <w:rPr>
          <w:rFonts w:cstheme="minorHAnsi"/>
          <w:sz w:val="24"/>
          <w:szCs w:val="24"/>
        </w:rPr>
        <w:t>5</w:t>
      </w:r>
      <w:r w:rsidR="00A16E5B" w:rsidRPr="0060455A">
        <w:rPr>
          <w:rFonts w:cstheme="minorHAnsi"/>
          <w:sz w:val="24"/>
          <w:szCs w:val="24"/>
        </w:rPr>
        <w:t>1</w:t>
      </w:r>
      <w:r>
        <w:rPr>
          <w:rFonts w:cstheme="minorHAnsi"/>
          <w:sz w:val="24"/>
          <w:szCs w:val="24"/>
        </w:rPr>
        <w:t>8</w:t>
      </w:r>
    </w:p>
    <w:p w:rsidR="00A16E5B" w:rsidRDefault="00666BDC" w:rsidP="005B4CCE">
      <w:pPr>
        <w:jc w:val="both"/>
        <w:rPr>
          <w:rFonts w:cstheme="minorHAnsi"/>
          <w:sz w:val="24"/>
          <w:szCs w:val="24"/>
        </w:rPr>
      </w:pPr>
      <w:r>
        <w:rPr>
          <w:rFonts w:cstheme="minorHAnsi"/>
          <w:sz w:val="24"/>
          <w:szCs w:val="24"/>
        </w:rPr>
        <w:t>Main Street Revitalization Funding</w:t>
      </w:r>
    </w:p>
    <w:p w:rsidR="009F61C3" w:rsidRPr="0060455A" w:rsidRDefault="00FA325C" w:rsidP="005B4CCE">
      <w:pPr>
        <w:jc w:val="both"/>
        <w:rPr>
          <w:rFonts w:cstheme="minorHAnsi"/>
          <w:b/>
          <w:sz w:val="24"/>
          <w:szCs w:val="24"/>
        </w:rPr>
      </w:pPr>
      <w:r>
        <w:rPr>
          <w:rFonts w:cstheme="minorHAnsi"/>
          <w:b/>
          <w:sz w:val="24"/>
          <w:szCs w:val="24"/>
          <w:u w:val="single"/>
        </w:rPr>
        <w:t>Amend</w:t>
      </w:r>
      <w:bookmarkStart w:id="0" w:name="_GoBack"/>
      <w:bookmarkEnd w:id="0"/>
      <w:r w:rsidR="00496625" w:rsidRPr="00496625">
        <w:rPr>
          <w:rFonts w:cstheme="minorHAnsi"/>
          <w:b/>
          <w:sz w:val="24"/>
          <w:szCs w:val="24"/>
          <w:u w:val="single"/>
        </w:rPr>
        <w:t>ed</w:t>
      </w:r>
      <w:r w:rsidR="00496625">
        <w:rPr>
          <w:rFonts w:cstheme="minorHAnsi"/>
          <w:b/>
          <w:sz w:val="24"/>
          <w:szCs w:val="24"/>
        </w:rPr>
        <w:t xml:space="preserve"> </w:t>
      </w:r>
      <w:r w:rsidR="00A16E5B" w:rsidRPr="0060455A">
        <w:rPr>
          <w:rFonts w:cstheme="minorHAnsi"/>
          <w:b/>
          <w:sz w:val="24"/>
          <w:szCs w:val="24"/>
        </w:rPr>
        <w:t>Coronavirus</w:t>
      </w:r>
      <w:r w:rsidR="00A16E5B"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w:t>
      </w:r>
    </w:p>
    <w:p w:rsidR="00F119C7" w:rsidRPr="00CF2253" w:rsidRDefault="00781C68" w:rsidP="00781C68">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 xml:space="preserve">Your Organization previously submitted a </w:t>
      </w:r>
      <w:r w:rsidRPr="0060455A">
        <w:rPr>
          <w:rFonts w:cstheme="minorHAnsi"/>
          <w:b/>
          <w:sz w:val="24"/>
          <w:szCs w:val="24"/>
        </w:rPr>
        <w:t>Coronavirus</w:t>
      </w:r>
      <w:r w:rsidRPr="002B4B32">
        <w:rPr>
          <w:rFonts w:cstheme="minorHAnsi"/>
          <w:b/>
          <w:sz w:val="24"/>
          <w:szCs w:val="24"/>
        </w:rPr>
        <w:t xml:space="preserve"> </w:t>
      </w:r>
      <w:r w:rsidRPr="002B4B32">
        <w:rPr>
          <w:rFonts w:eastAsia="Times New Roman" w:cstheme="minorHAnsi"/>
          <w:b/>
          <w:sz w:val="24"/>
          <w:szCs w:val="24"/>
        </w:rPr>
        <w:t>State and Local Fiscal Recovery Funds</w:t>
      </w:r>
      <w:r>
        <w:rPr>
          <w:rFonts w:eastAsia="Times New Roman" w:cstheme="minorHAnsi"/>
          <w:sz w:val="24"/>
          <w:szCs w:val="24"/>
        </w:rPr>
        <w:t xml:space="preserve"> </w:t>
      </w:r>
      <w:r w:rsidRPr="0060455A">
        <w:rPr>
          <w:rFonts w:cstheme="minorHAnsi"/>
          <w:b/>
          <w:sz w:val="24"/>
          <w:szCs w:val="24"/>
        </w:rPr>
        <w:t xml:space="preserve">Letter </w:t>
      </w:r>
      <w:r>
        <w:rPr>
          <w:rFonts w:cstheme="minorHAnsi"/>
          <w:b/>
          <w:sz w:val="24"/>
          <w:szCs w:val="24"/>
        </w:rPr>
        <w:t xml:space="preserve">and Acknowledgement </w:t>
      </w:r>
      <w:r>
        <w:rPr>
          <w:rFonts w:cstheme="minorHAnsi"/>
          <w:sz w:val="24"/>
          <w:szCs w:val="24"/>
        </w:rPr>
        <w:t xml:space="preserve">that was approved and is being maintained in the State’s portal.  Since that time, reporting timelines have been refined, resulting in new requirements for reporting by each entity, as provided below.  Please acknowledge your agreement to the reporting requirements by signing this letter and posting to the portal along with your Financial and Performance Marketing Plan. </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that have requested advance funds have monthly reporting requirements to complete.  The organizations must submit financial and performance status reports.  The financial reports wi</w:t>
      </w:r>
      <w:r w:rsidR="006A6E03">
        <w:rPr>
          <w:rFonts w:cstheme="minorHAnsi"/>
          <w:sz w:val="24"/>
          <w:szCs w:val="24"/>
        </w:rPr>
        <w:t>ll detail the expenditur</w:t>
      </w:r>
      <w:r w:rsidR="00EE19B4">
        <w:rPr>
          <w:rFonts w:cstheme="minorHAnsi"/>
          <w:sz w:val="24"/>
          <w:szCs w:val="24"/>
        </w:rPr>
        <w:t>es the organizations have incurred and spent.  The performance status reports wi</w:t>
      </w:r>
      <w:r w:rsidR="00EE749F">
        <w:rPr>
          <w:rFonts w:cstheme="minorHAnsi"/>
          <w:sz w:val="24"/>
          <w:szCs w:val="24"/>
        </w:rPr>
        <w:t xml:space="preserve">ll describe how the funds were used, including specific deliverables achieved, and progress against the objectives and outcomes expected to be achieved.  </w:t>
      </w:r>
      <w:r w:rsidR="00781C68" w:rsidRPr="00B743E8">
        <w:rPr>
          <w:rFonts w:cstheme="minorHAnsi"/>
          <w:b/>
          <w:sz w:val="24"/>
          <w:szCs w:val="24"/>
        </w:rPr>
        <w:t xml:space="preserve">On a monthly basis, Organizations will need to complete the financial and performance summary status report template and submit together with the financial payroll expense report template and financial other expense report template, </w:t>
      </w:r>
      <w:r w:rsidR="00781C68" w:rsidRPr="00F27B7C">
        <w:rPr>
          <w:rFonts w:cstheme="minorHAnsi"/>
          <w:b/>
          <w:sz w:val="24"/>
          <w:szCs w:val="24"/>
        </w:rPr>
        <w:t>to include all expenditures incurred the previous month</w:t>
      </w:r>
      <w:r w:rsidR="00781C68">
        <w:rPr>
          <w:rFonts w:cstheme="minorHAnsi"/>
          <w:sz w:val="24"/>
          <w:szCs w:val="24"/>
        </w:rPr>
        <w:t>.</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Pr="00EE749F" w:rsidRDefault="00EE749F" w:rsidP="00EE749F">
      <w:pPr>
        <w:spacing w:before="100" w:beforeAutospacing="1" w:after="100" w:afterAutospacing="1" w:line="240" w:lineRule="auto"/>
        <w:jc w:val="both"/>
        <w:rPr>
          <w:rFonts w:cstheme="minorHAnsi"/>
          <w:sz w:val="24"/>
          <w:szCs w:val="24"/>
        </w:rPr>
      </w:pPr>
      <w:r w:rsidRPr="00781C68">
        <w:rPr>
          <w:rFonts w:cstheme="minorHAnsi"/>
          <w:b/>
          <w:sz w:val="24"/>
          <w:szCs w:val="24"/>
        </w:rPr>
        <w:t>The reports</w:t>
      </w:r>
      <w:r w:rsidR="00781C68" w:rsidRPr="00781C68">
        <w:rPr>
          <w:rFonts w:cstheme="minorHAnsi"/>
          <w:b/>
          <w:sz w:val="24"/>
          <w:szCs w:val="24"/>
        </w:rPr>
        <w:t xml:space="preserve"> are due on the 10</w:t>
      </w:r>
      <w:r w:rsidR="00E40F0B" w:rsidRPr="00781C68">
        <w:rPr>
          <w:rFonts w:cstheme="minorHAnsi"/>
          <w:b/>
          <w:sz w:val="24"/>
          <w:szCs w:val="24"/>
          <w:vertAlign w:val="superscript"/>
        </w:rPr>
        <w:t>t</w:t>
      </w:r>
      <w:r w:rsidR="00781C68" w:rsidRPr="00781C68">
        <w:rPr>
          <w:rFonts w:cstheme="minorHAnsi"/>
          <w:b/>
          <w:sz w:val="24"/>
          <w:szCs w:val="24"/>
          <w:vertAlign w:val="superscript"/>
        </w:rPr>
        <w:t>h</w:t>
      </w:r>
      <w:r w:rsidR="00E40F0B" w:rsidRPr="00781C68">
        <w:rPr>
          <w:rFonts w:cstheme="minorHAnsi"/>
          <w:b/>
          <w:sz w:val="24"/>
          <w:szCs w:val="24"/>
        </w:rPr>
        <w:t xml:space="preserve"> day of each month after you receive funding and continues through closeout of the subaward.</w:t>
      </w:r>
      <w:r w:rsidR="00E40F0B">
        <w:rPr>
          <w:rFonts w:cstheme="minorHAnsi"/>
          <w:sz w:val="24"/>
          <w:szCs w:val="24"/>
        </w:rPr>
        <w:t xml:space="preserve"> </w:t>
      </w:r>
      <w:r w:rsidR="00781C68">
        <w:rPr>
          <w:rFonts w:cstheme="minorHAnsi"/>
          <w:sz w:val="24"/>
          <w:szCs w:val="24"/>
        </w:rPr>
        <w:t xml:space="preserve"> If the 10</w:t>
      </w:r>
      <w:r w:rsidR="00781C68" w:rsidRPr="00781C68">
        <w:rPr>
          <w:rFonts w:cstheme="minorHAnsi"/>
          <w:sz w:val="24"/>
          <w:szCs w:val="24"/>
          <w:vertAlign w:val="superscript"/>
        </w:rPr>
        <w:t>th</w:t>
      </w:r>
      <w:r w:rsidR="00781C68">
        <w:rPr>
          <w:rFonts w:cstheme="minorHAnsi"/>
          <w:sz w:val="24"/>
          <w:szCs w:val="24"/>
        </w:rPr>
        <w:t xml:space="preserve"> falls on a weekend or holiday, you must submit your report on the following business day.</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97C39"/>
    <w:rsid w:val="001D01AB"/>
    <w:rsid w:val="001F42D7"/>
    <w:rsid w:val="002222DB"/>
    <w:rsid w:val="0026219D"/>
    <w:rsid w:val="002B4B32"/>
    <w:rsid w:val="002B7D26"/>
    <w:rsid w:val="00306EC8"/>
    <w:rsid w:val="003919EC"/>
    <w:rsid w:val="003A5E2F"/>
    <w:rsid w:val="003B3706"/>
    <w:rsid w:val="003D1E1F"/>
    <w:rsid w:val="00400953"/>
    <w:rsid w:val="00430BD1"/>
    <w:rsid w:val="00465BED"/>
    <w:rsid w:val="004953D0"/>
    <w:rsid w:val="00496625"/>
    <w:rsid w:val="004F5DF0"/>
    <w:rsid w:val="00512AF5"/>
    <w:rsid w:val="00515241"/>
    <w:rsid w:val="00517542"/>
    <w:rsid w:val="00534DD6"/>
    <w:rsid w:val="00562599"/>
    <w:rsid w:val="00582E32"/>
    <w:rsid w:val="005B4CCE"/>
    <w:rsid w:val="005C24D7"/>
    <w:rsid w:val="005D5441"/>
    <w:rsid w:val="0060455A"/>
    <w:rsid w:val="00666BDC"/>
    <w:rsid w:val="006777AB"/>
    <w:rsid w:val="006867C2"/>
    <w:rsid w:val="006A6E03"/>
    <w:rsid w:val="006D74B3"/>
    <w:rsid w:val="00711C05"/>
    <w:rsid w:val="0073666A"/>
    <w:rsid w:val="00773550"/>
    <w:rsid w:val="00781C68"/>
    <w:rsid w:val="007876F4"/>
    <w:rsid w:val="007D3300"/>
    <w:rsid w:val="007E09D8"/>
    <w:rsid w:val="00840B1D"/>
    <w:rsid w:val="008666D9"/>
    <w:rsid w:val="008C0932"/>
    <w:rsid w:val="008C0BEA"/>
    <w:rsid w:val="008C3C5B"/>
    <w:rsid w:val="008D702B"/>
    <w:rsid w:val="00997511"/>
    <w:rsid w:val="009D53EE"/>
    <w:rsid w:val="009F61C3"/>
    <w:rsid w:val="00A13775"/>
    <w:rsid w:val="00A16E5B"/>
    <w:rsid w:val="00A316D8"/>
    <w:rsid w:val="00A52E4C"/>
    <w:rsid w:val="00A94372"/>
    <w:rsid w:val="00AA2548"/>
    <w:rsid w:val="00AF637B"/>
    <w:rsid w:val="00B32FB3"/>
    <w:rsid w:val="00B3663F"/>
    <w:rsid w:val="00B4085E"/>
    <w:rsid w:val="00BE4227"/>
    <w:rsid w:val="00C7445C"/>
    <w:rsid w:val="00C90BE7"/>
    <w:rsid w:val="00CE3CE8"/>
    <w:rsid w:val="00CE531C"/>
    <w:rsid w:val="00CE6482"/>
    <w:rsid w:val="00CF077C"/>
    <w:rsid w:val="00CF2253"/>
    <w:rsid w:val="00D41DA8"/>
    <w:rsid w:val="00D71D4D"/>
    <w:rsid w:val="00D72ED0"/>
    <w:rsid w:val="00D90261"/>
    <w:rsid w:val="00D96C9F"/>
    <w:rsid w:val="00DA634B"/>
    <w:rsid w:val="00DA6E21"/>
    <w:rsid w:val="00DF6635"/>
    <w:rsid w:val="00E15F30"/>
    <w:rsid w:val="00E340EE"/>
    <w:rsid w:val="00E40F0B"/>
    <w:rsid w:val="00E66B8A"/>
    <w:rsid w:val="00EE19B4"/>
    <w:rsid w:val="00EE749F"/>
    <w:rsid w:val="00F119C7"/>
    <w:rsid w:val="00FA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C87F"/>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5</cp:revision>
  <cp:lastPrinted>2022-07-07T16:15:00Z</cp:lastPrinted>
  <dcterms:created xsi:type="dcterms:W3CDTF">2022-11-07T18:06:00Z</dcterms:created>
  <dcterms:modified xsi:type="dcterms:W3CDTF">2022-11-08T19:19:00Z</dcterms:modified>
</cp:coreProperties>
</file>